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C6F62" w14:textId="14C467F5" w:rsidR="00CB19D3" w:rsidRPr="00642E12" w:rsidRDefault="00642E12">
      <w:pPr>
        <w:spacing w:before="10"/>
        <w:rPr>
          <w:rFonts w:asciiTheme="minorHAnsi" w:hAnsiTheme="minorHAnsi" w:cstheme="minorHAnsi"/>
        </w:rPr>
      </w:pPr>
      <w:r w:rsidRPr="00642E12">
        <w:rPr>
          <w:rFonts w:asciiTheme="minorHAnsi" w:eastAsia="Gill Sans MT" w:hAnsiTheme="minorHAnsi" w:cstheme="minorHAnsi"/>
          <w:b/>
          <w:bCs/>
          <w:noProof/>
          <w:sz w:val="24"/>
          <w:szCs w:val="24"/>
          <w:lang w:val="en-GB" w:eastAsia="en-GB"/>
        </w:rPr>
        <w:drawing>
          <wp:anchor distT="0" distB="0" distL="114300" distR="114300" simplePos="0" relativeHeight="251662848" behindDoc="0" locked="0" layoutInCell="1" allowOverlap="1" wp14:anchorId="5F5E4887" wp14:editId="452D6B14">
            <wp:simplePos x="0" y="0"/>
            <wp:positionH relativeFrom="column">
              <wp:posOffset>211924</wp:posOffset>
            </wp:positionH>
            <wp:positionV relativeFrom="paragraph">
              <wp:posOffset>151765</wp:posOffset>
            </wp:positionV>
            <wp:extent cx="1343660" cy="934085"/>
            <wp:effectExtent l="0" t="0" r="8890" b="0"/>
            <wp:wrapNone/>
            <wp:docPr id="1867682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26319" r="24915" b="32407"/>
                    <a:stretch/>
                  </pic:blipFill>
                  <pic:spPr bwMode="auto">
                    <a:xfrm>
                      <a:off x="0" y="0"/>
                      <a:ext cx="1343660" cy="934085"/>
                    </a:xfrm>
                    <a:prstGeom prst="rect">
                      <a:avLst/>
                    </a:prstGeom>
                    <a:noFill/>
                    <a:ln>
                      <a:noFill/>
                    </a:ln>
                    <a:extLst>
                      <a:ext uri="{53640926-AAD7-44D8-BBD7-CCE9431645EC}">
                        <a14:shadowObscured xmlns:a14="http://schemas.microsoft.com/office/drawing/2010/main"/>
                      </a:ext>
                    </a:extLst>
                  </pic:spPr>
                </pic:pic>
              </a:graphicData>
            </a:graphic>
          </wp:anchor>
        </w:drawing>
      </w:r>
    </w:p>
    <w:p w14:paraId="3F115888" w14:textId="4A6B6311" w:rsidR="00642E12" w:rsidRPr="00642E12" w:rsidRDefault="00642E12" w:rsidP="00642E12">
      <w:pPr>
        <w:spacing w:before="10"/>
        <w:rPr>
          <w:rFonts w:asciiTheme="minorHAnsi" w:eastAsia="Gill Sans MT" w:hAnsiTheme="minorHAnsi" w:cstheme="minorHAnsi"/>
          <w:b/>
          <w:bCs/>
          <w:noProof/>
          <w:sz w:val="24"/>
          <w:szCs w:val="24"/>
          <w:lang w:val="en-GB"/>
        </w:rPr>
      </w:pPr>
      <w:r w:rsidRPr="00642E12">
        <w:rPr>
          <w:rFonts w:asciiTheme="minorHAnsi" w:hAnsiTheme="minorHAnsi" w:cstheme="minorHAnsi"/>
          <w:noProof/>
          <w:lang w:val="en-GB" w:eastAsia="en-GB"/>
        </w:rPr>
        <w:drawing>
          <wp:anchor distT="0" distB="0" distL="0" distR="0" simplePos="0" relativeHeight="251657728" behindDoc="0" locked="0" layoutInCell="1" allowOverlap="1" wp14:anchorId="3308CCFA" wp14:editId="1B1C4158">
            <wp:simplePos x="0" y="0"/>
            <wp:positionH relativeFrom="page">
              <wp:posOffset>5451337</wp:posOffset>
            </wp:positionH>
            <wp:positionV relativeFrom="paragraph">
              <wp:posOffset>72224</wp:posOffset>
            </wp:positionV>
            <wp:extent cx="1202690" cy="8399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2690" cy="839990"/>
                    </a:xfrm>
                    <a:prstGeom prst="rect">
                      <a:avLst/>
                    </a:prstGeom>
                  </pic:spPr>
                </pic:pic>
              </a:graphicData>
            </a:graphic>
          </wp:anchor>
        </w:drawing>
      </w:r>
    </w:p>
    <w:p w14:paraId="0F5D91FB" w14:textId="41941EAD" w:rsidR="00642E12" w:rsidRPr="00642E12" w:rsidRDefault="00642E12" w:rsidP="00642E12">
      <w:pPr>
        <w:pStyle w:val="BodyText"/>
        <w:spacing w:line="398" w:lineRule="auto"/>
        <w:ind w:right="678"/>
        <w:jc w:val="center"/>
        <w:rPr>
          <w:rFonts w:asciiTheme="minorHAnsi" w:hAnsiTheme="minorHAnsi" w:cstheme="minorHAnsi"/>
        </w:rPr>
      </w:pPr>
      <w:r w:rsidRPr="00642E12">
        <w:rPr>
          <w:rFonts w:asciiTheme="minorHAnsi" w:hAnsiTheme="minorHAnsi" w:cstheme="minorHAnsi"/>
          <w:noProof/>
        </w:rPr>
        <w:t>Amberley Parochial</w:t>
      </w:r>
      <w:r w:rsidR="005C2AF5" w:rsidRPr="00642E12">
        <w:rPr>
          <w:rFonts w:asciiTheme="minorHAnsi" w:hAnsiTheme="minorHAnsi" w:cstheme="minorHAnsi"/>
          <w:spacing w:val="-6"/>
        </w:rPr>
        <w:t xml:space="preserve"> </w:t>
      </w:r>
      <w:r w:rsidR="005C2AF5" w:rsidRPr="00642E12">
        <w:rPr>
          <w:rFonts w:asciiTheme="minorHAnsi" w:hAnsiTheme="minorHAnsi" w:cstheme="minorHAnsi"/>
        </w:rPr>
        <w:t>School</w:t>
      </w:r>
    </w:p>
    <w:p w14:paraId="4F79F698" w14:textId="52AB3E75" w:rsidR="00CB19D3" w:rsidRPr="00642E12" w:rsidRDefault="00C40288" w:rsidP="00642E12">
      <w:pPr>
        <w:pStyle w:val="BodyText"/>
        <w:spacing w:line="398" w:lineRule="auto"/>
        <w:ind w:right="678"/>
        <w:jc w:val="center"/>
        <w:rPr>
          <w:rFonts w:asciiTheme="minorHAnsi" w:hAnsiTheme="minorHAnsi" w:cstheme="minorHAnsi"/>
        </w:rPr>
      </w:pPr>
      <w:r>
        <w:rPr>
          <w:rFonts w:asciiTheme="minorHAnsi" w:hAnsiTheme="minorHAnsi" w:cstheme="minorHAnsi"/>
        </w:rPr>
        <w:t xml:space="preserve">Curriculum Statement for </w:t>
      </w:r>
      <w:r w:rsidR="00E97DFC">
        <w:rPr>
          <w:rFonts w:asciiTheme="minorHAnsi" w:hAnsiTheme="minorHAnsi" w:cstheme="minorHAnsi"/>
        </w:rPr>
        <w:t>Computing</w:t>
      </w:r>
    </w:p>
    <w:p w14:paraId="14F5F6AB" w14:textId="77777777" w:rsidR="00CB19D3" w:rsidRPr="00642E12" w:rsidRDefault="00CB19D3">
      <w:pPr>
        <w:pStyle w:val="BodyText"/>
        <w:rPr>
          <w:rFonts w:asciiTheme="minorHAnsi" w:hAnsiTheme="minorHAnsi" w:cstheme="minorHAnsi"/>
          <w:sz w:val="20"/>
        </w:rPr>
      </w:pPr>
    </w:p>
    <w:p w14:paraId="6A38D82E" w14:textId="77777777" w:rsidR="00CB19D3" w:rsidRPr="00642E12" w:rsidRDefault="00CB19D3">
      <w:pPr>
        <w:pStyle w:val="BodyText"/>
        <w:spacing w:before="7"/>
        <w:rPr>
          <w:rFonts w:asciiTheme="minorHAnsi" w:hAnsiTheme="minorHAnsi" w:cstheme="minorHAnsi"/>
          <w:sz w:val="23"/>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57"/>
      </w:tblGrid>
      <w:tr w:rsidR="00CB19D3" w:rsidRPr="00642E12" w14:paraId="6ADCD45E" w14:textId="77777777" w:rsidTr="006D3A54">
        <w:trPr>
          <w:trHeight w:val="227"/>
        </w:trPr>
        <w:tc>
          <w:tcPr>
            <w:tcW w:w="11057" w:type="dxa"/>
            <w:shd w:val="clear" w:color="auto" w:fill="D99594" w:themeFill="accent2" w:themeFillTint="99"/>
          </w:tcPr>
          <w:p w14:paraId="21CA599E" w14:textId="77777777" w:rsidR="00CB19D3" w:rsidRPr="00642E12" w:rsidRDefault="005C2AF5">
            <w:pPr>
              <w:pStyle w:val="TableParagraph"/>
              <w:spacing w:line="208" w:lineRule="exact"/>
              <w:rPr>
                <w:rFonts w:asciiTheme="minorHAnsi" w:hAnsiTheme="minorHAnsi" w:cstheme="minorHAnsi"/>
                <w:b/>
                <w:sz w:val="20"/>
              </w:rPr>
            </w:pPr>
            <w:r w:rsidRPr="00642E12">
              <w:rPr>
                <w:rFonts w:asciiTheme="minorHAnsi" w:hAnsiTheme="minorHAnsi" w:cstheme="minorHAnsi"/>
                <w:b/>
                <w:spacing w:val="-2"/>
                <w:sz w:val="20"/>
              </w:rPr>
              <w:t>Vision</w:t>
            </w:r>
          </w:p>
        </w:tc>
      </w:tr>
      <w:tr w:rsidR="00CB19D3" w:rsidRPr="00642E12" w14:paraId="008A2B60" w14:textId="77777777" w:rsidTr="006D3A54">
        <w:trPr>
          <w:trHeight w:val="640"/>
        </w:trPr>
        <w:tc>
          <w:tcPr>
            <w:tcW w:w="11057" w:type="dxa"/>
            <w:vAlign w:val="center"/>
          </w:tcPr>
          <w:p w14:paraId="13781354" w14:textId="131716D1" w:rsidR="00CB19D3" w:rsidRPr="00642E12" w:rsidRDefault="00642E12" w:rsidP="00642E12">
            <w:pPr>
              <w:pStyle w:val="TableParagraph"/>
              <w:spacing w:before="5"/>
              <w:ind w:left="248" w:right="237"/>
              <w:jc w:val="center"/>
              <w:rPr>
                <w:rFonts w:asciiTheme="minorHAnsi" w:hAnsiTheme="minorHAnsi" w:cstheme="minorHAnsi"/>
                <w:b/>
                <w:i/>
                <w:iCs/>
                <w:sz w:val="24"/>
                <w:szCs w:val="24"/>
              </w:rPr>
            </w:pPr>
            <w:r w:rsidRPr="00642E12">
              <w:rPr>
                <w:rFonts w:asciiTheme="minorHAnsi" w:hAnsiTheme="minorHAnsi" w:cstheme="minorHAnsi"/>
                <w:b/>
                <w:i/>
                <w:iCs/>
                <w:sz w:val="24"/>
                <w:szCs w:val="24"/>
              </w:rPr>
              <w:t>Providing the rich soil that enables our children to develop deep roots and flourish</w:t>
            </w:r>
          </w:p>
        </w:tc>
      </w:tr>
      <w:tr w:rsidR="00CB19D3" w:rsidRPr="00642E12" w14:paraId="7D618480" w14:textId="77777777" w:rsidTr="006D3A54">
        <w:trPr>
          <w:trHeight w:val="230"/>
        </w:trPr>
        <w:tc>
          <w:tcPr>
            <w:tcW w:w="11057" w:type="dxa"/>
            <w:shd w:val="clear" w:color="auto" w:fill="D99594" w:themeFill="accent2" w:themeFillTint="99"/>
          </w:tcPr>
          <w:p w14:paraId="4FAEBBA5"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Intent</w:t>
            </w:r>
          </w:p>
        </w:tc>
      </w:tr>
      <w:tr w:rsidR="00CB19D3" w:rsidRPr="00642E12" w14:paraId="232AA846" w14:textId="77777777" w:rsidTr="006D3A54">
        <w:trPr>
          <w:trHeight w:val="3573"/>
        </w:trPr>
        <w:tc>
          <w:tcPr>
            <w:tcW w:w="11057" w:type="dxa"/>
            <w:vAlign w:val="center"/>
          </w:tcPr>
          <w:p w14:paraId="560F472F" w14:textId="5CBC52AA" w:rsidR="00F84DB8" w:rsidRPr="006D3A54" w:rsidRDefault="00515F99" w:rsidP="006D3A54">
            <w:pPr>
              <w:pStyle w:val="TableParagraph"/>
              <w:ind w:right="96"/>
              <w:rPr>
                <w:color w:val="333333"/>
                <w:sz w:val="20"/>
              </w:rPr>
            </w:pPr>
            <w:r w:rsidRPr="00BB55D1">
              <w:rPr>
                <w:color w:val="333333"/>
                <w:sz w:val="20"/>
              </w:rPr>
              <w:t xml:space="preserve">The use of computers and computer systems is an integral part of the National Curriculum and knowing how they work is a key life skill. </w:t>
            </w:r>
            <w:r w:rsidR="00420947" w:rsidRPr="00114270">
              <w:rPr>
                <w:color w:val="333333"/>
                <w:sz w:val="20"/>
              </w:rPr>
              <w:t xml:space="preserve">However, we want pupils to be </w:t>
            </w:r>
            <w:proofErr w:type="gramStart"/>
            <w:r w:rsidR="003E32A0">
              <w:rPr>
                <w:color w:val="333333"/>
                <w:sz w:val="20"/>
              </w:rPr>
              <w:t>masters</w:t>
            </w:r>
            <w:r w:rsidR="00420947" w:rsidRPr="00114270">
              <w:rPr>
                <w:color w:val="333333"/>
                <w:sz w:val="20"/>
              </w:rPr>
              <w:t xml:space="preserve"> of technology</w:t>
            </w:r>
            <w:proofErr w:type="gramEnd"/>
            <w:r w:rsidR="00420947" w:rsidRPr="00114270">
              <w:rPr>
                <w:color w:val="333333"/>
                <w:sz w:val="20"/>
              </w:rPr>
              <w:t xml:space="preserve"> and not slaves to it. </w:t>
            </w:r>
            <w:r w:rsidRPr="00BB55D1">
              <w:rPr>
                <w:color w:val="333333"/>
                <w:sz w:val="20"/>
              </w:rPr>
              <w:t>In an increasingly digital world there now exists a wealth of software, tools and technologies that can be used to communicate, collaborate, express ideas and create digital content</w:t>
            </w:r>
            <w:r w:rsidR="00420947">
              <w:rPr>
                <w:color w:val="333333"/>
                <w:sz w:val="20"/>
              </w:rPr>
              <w:t>-</w:t>
            </w:r>
            <w:r w:rsidRPr="00BB55D1">
              <w:rPr>
                <w:color w:val="333333"/>
                <w:sz w:val="20"/>
              </w:rPr>
              <w:t xml:space="preserve"> </w:t>
            </w:r>
            <w:r w:rsidR="00420947" w:rsidRPr="00114270">
              <w:rPr>
                <w:color w:val="333333"/>
                <w:sz w:val="20"/>
              </w:rPr>
              <w:t>Technology is everywhere and will play a pivotal part in students' lives</w:t>
            </w:r>
            <w:r w:rsidR="00420947" w:rsidRPr="00114270">
              <w:rPr>
                <w:color w:val="333333"/>
                <w:sz w:val="20"/>
              </w:rPr>
              <w:t xml:space="preserve">. </w:t>
            </w:r>
            <w:r w:rsidR="00420947" w:rsidRPr="00BB55D1">
              <w:rPr>
                <w:color w:val="333333"/>
                <w:sz w:val="20"/>
              </w:rPr>
              <w:t xml:space="preserve"> </w:t>
            </w:r>
            <w:r w:rsidRPr="00BB55D1">
              <w:rPr>
                <w:color w:val="333333"/>
                <w:sz w:val="20"/>
              </w:rPr>
              <w:t xml:space="preserve">At Amberley Parochial Primary, </w:t>
            </w:r>
            <w:r w:rsidR="00420947" w:rsidRPr="00114270">
              <w:rPr>
                <w:color w:val="333333"/>
                <w:sz w:val="20"/>
              </w:rPr>
              <w:t xml:space="preserve">Therefore, we want to model and educate our pupils on how to use technology positively, responsibly and safely. We want our pupils to be creators not consumers and our broad curriculum encompassing computer science, information technology and digital literacy reflects this. </w:t>
            </w:r>
            <w:r w:rsidR="00114270" w:rsidRPr="00114270">
              <w:rPr>
                <w:color w:val="333333"/>
                <w:sz w:val="20"/>
              </w:rPr>
              <w:t>We want our pupils to understand that there is always a choice with using technology and as a school we utilise technology (especially social media) to model positive use. We recognise that the best prevention for a lot of issues we currently see with technology/social media is through education. Building our knowledge in this subject will allow pupils to effectively demonstrate their learning through creative use of technology</w:t>
            </w:r>
            <w:r w:rsidR="003E32A0">
              <w:rPr>
                <w:color w:val="333333"/>
                <w:sz w:val="20"/>
              </w:rPr>
              <w:t>.</w:t>
            </w:r>
            <w:r w:rsidR="00114270" w:rsidRPr="00114270">
              <w:rPr>
                <w:color w:val="333333"/>
                <w:sz w:val="20"/>
              </w:rPr>
              <w:t xml:space="preserve"> We recognise that technology can allow pupils to share their learning in creative ways. We also understand the accessibility opportunities technology can provide for our pupils. Our knowledge rich curriculum </w:t>
            </w:r>
            <w:proofErr w:type="gramStart"/>
            <w:r w:rsidR="00114270" w:rsidRPr="00114270">
              <w:rPr>
                <w:color w:val="333333"/>
                <w:sz w:val="20"/>
              </w:rPr>
              <w:t>has to</w:t>
            </w:r>
            <w:proofErr w:type="gramEnd"/>
            <w:r w:rsidR="00114270" w:rsidRPr="00114270">
              <w:rPr>
                <w:color w:val="333333"/>
                <w:sz w:val="20"/>
              </w:rPr>
              <w:t xml:space="preserve"> be balanced with the opportunity for pupils to apply their knowledge creatively which will in turn help our pupils become skil</w:t>
            </w:r>
            <w:r w:rsidR="003E32A0">
              <w:rPr>
                <w:color w:val="333333"/>
                <w:sz w:val="20"/>
              </w:rPr>
              <w:t>l</w:t>
            </w:r>
            <w:r w:rsidR="00114270" w:rsidRPr="00114270">
              <w:rPr>
                <w:color w:val="333333"/>
                <w:sz w:val="20"/>
              </w:rPr>
              <w:t xml:space="preserve">ful computer scientists. We encourage staff to try and embed computing across the whole curriculum to make learning creative and accessible. We want our pupils to have the independence and confidence to choose the best tool to fulfil the task and </w:t>
            </w:r>
            <w:r w:rsidR="00114270" w:rsidRPr="00BB55D1">
              <w:rPr>
                <w:color w:val="333333"/>
                <w:sz w:val="20"/>
              </w:rPr>
              <w:t>participate fully in the modern world</w:t>
            </w:r>
            <w:r w:rsidR="00114270" w:rsidRPr="00BB55D1">
              <w:rPr>
                <w:color w:val="333333"/>
                <w:spacing w:val="40"/>
                <w:sz w:val="20"/>
              </w:rPr>
              <w:t>.</w:t>
            </w:r>
          </w:p>
        </w:tc>
      </w:tr>
      <w:tr w:rsidR="00CB19D3" w:rsidRPr="00642E12" w14:paraId="57C03CC0" w14:textId="77777777" w:rsidTr="006D3A54">
        <w:trPr>
          <w:trHeight w:val="230"/>
        </w:trPr>
        <w:tc>
          <w:tcPr>
            <w:tcW w:w="11057" w:type="dxa"/>
            <w:shd w:val="clear" w:color="auto" w:fill="D99594" w:themeFill="accent2" w:themeFillTint="99"/>
          </w:tcPr>
          <w:p w14:paraId="368642DF"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Implementation</w:t>
            </w:r>
          </w:p>
        </w:tc>
      </w:tr>
      <w:tr w:rsidR="00CB19D3" w:rsidRPr="00642E12" w14:paraId="1C39C658" w14:textId="77777777" w:rsidTr="006D3A54">
        <w:trPr>
          <w:trHeight w:val="2601"/>
        </w:trPr>
        <w:tc>
          <w:tcPr>
            <w:tcW w:w="11057" w:type="dxa"/>
            <w:vAlign w:val="center"/>
          </w:tcPr>
          <w:p w14:paraId="675E002E" w14:textId="050CC726" w:rsidR="00642E12" w:rsidRPr="00BB55D1" w:rsidRDefault="00BB55D1" w:rsidP="006D3A54">
            <w:pPr>
              <w:pStyle w:val="TableParagraph"/>
              <w:ind w:right="95"/>
              <w:rPr>
                <w:color w:val="333333"/>
                <w:sz w:val="20"/>
              </w:rPr>
            </w:pPr>
            <w:r w:rsidRPr="00BB55D1">
              <w:rPr>
                <w:color w:val="333333"/>
                <w:sz w:val="20"/>
              </w:rPr>
              <w:t xml:space="preserve">Planning for computing is implemented using two core documents: the National Curriculum </w:t>
            </w:r>
            <w:proofErr w:type="spellStart"/>
            <w:r w:rsidRPr="00BB55D1">
              <w:rPr>
                <w:color w:val="333333"/>
                <w:sz w:val="20"/>
              </w:rPr>
              <w:t>Programme</w:t>
            </w:r>
            <w:proofErr w:type="spellEnd"/>
            <w:r w:rsidRPr="00BB55D1">
              <w:rPr>
                <w:color w:val="333333"/>
                <w:sz w:val="20"/>
              </w:rPr>
              <w:t xml:space="preserve"> of Study for Computing and the Statutory Framework for Early Years Foundation Stage. Long term planning has been developed using the National Centre of Computing Excellence (NCCE) planning and demonstrates coverage and progression of the attainment expectations at the end of Key Stage 1 and Key Stage 2 as identified in the Computing POS. Medium term planning takes account of differentiation and progression and is based on NCCE scheme progressions in Programming, Computational Thinking, Creativity, Computing Networks, Communication/collaboration</w:t>
            </w:r>
            <w:r w:rsidR="00693DB0">
              <w:rPr>
                <w:color w:val="333333"/>
                <w:sz w:val="20"/>
              </w:rPr>
              <w:t xml:space="preserve"> and </w:t>
            </w:r>
            <w:r w:rsidRPr="00BB55D1">
              <w:rPr>
                <w:color w:val="333333"/>
                <w:sz w:val="20"/>
              </w:rPr>
              <w:t>Productivity</w:t>
            </w:r>
            <w:r w:rsidR="00693DB0">
              <w:rPr>
                <w:color w:val="333333"/>
                <w:sz w:val="20"/>
              </w:rPr>
              <w:t xml:space="preserve">. </w:t>
            </w:r>
            <w:r w:rsidRPr="00BB55D1">
              <w:rPr>
                <w:color w:val="333333"/>
                <w:sz w:val="20"/>
              </w:rPr>
              <w:t xml:space="preserve">Key skills in information technology are developed through Multimedia and Handling Data threads and are integrated into learning in other curriculum areas. </w:t>
            </w:r>
            <w:r w:rsidR="00101161" w:rsidRPr="00101161">
              <w:rPr>
                <w:color w:val="333333"/>
                <w:sz w:val="20"/>
              </w:rPr>
              <w:t xml:space="preserve">A progressive online safety curriculum (Project Evolve) ensures that all pupils </w:t>
            </w:r>
            <w:proofErr w:type="gramStart"/>
            <w:r w:rsidR="00101161" w:rsidRPr="00101161">
              <w:rPr>
                <w:color w:val="333333"/>
                <w:sz w:val="20"/>
              </w:rPr>
              <w:t>are able to</w:t>
            </w:r>
            <w:proofErr w:type="gramEnd"/>
            <w:r w:rsidR="00101161" w:rsidRPr="00101161">
              <w:rPr>
                <w:color w:val="333333"/>
                <w:sz w:val="20"/>
              </w:rPr>
              <w:t xml:space="preserve"> develop skills to keep them safe online.</w:t>
            </w:r>
            <w:r w:rsidR="00101161" w:rsidRPr="00BB55D1">
              <w:rPr>
                <w:color w:val="333333"/>
                <w:sz w:val="20"/>
              </w:rPr>
              <w:t xml:space="preserve"> </w:t>
            </w:r>
            <w:r w:rsidR="000F0251">
              <w:rPr>
                <w:color w:val="333333"/>
                <w:sz w:val="20"/>
              </w:rPr>
              <w:t>T</w:t>
            </w:r>
            <w:r w:rsidR="000F0251" w:rsidRPr="00BB55D1">
              <w:rPr>
                <w:color w:val="333333"/>
                <w:sz w:val="20"/>
              </w:rPr>
              <w:t>ogether with the threads of Computing Networks and Communication/collaboration,</w:t>
            </w:r>
            <w:r w:rsidR="000F0251">
              <w:rPr>
                <w:color w:val="333333"/>
                <w:sz w:val="20"/>
              </w:rPr>
              <w:t xml:space="preserve"> o</w:t>
            </w:r>
            <w:r w:rsidRPr="00BB55D1">
              <w:rPr>
                <w:color w:val="333333"/>
                <w:sz w:val="20"/>
              </w:rPr>
              <w:t>nline Safety is developed through PSHE and builds the skills and understanding of Digital Literacy.</w:t>
            </w:r>
            <w:r w:rsidR="00307F6F">
              <w:rPr>
                <w:color w:val="333333"/>
                <w:sz w:val="20"/>
              </w:rPr>
              <w:t xml:space="preserve"> </w:t>
            </w:r>
            <w:r w:rsidRPr="00BB55D1">
              <w:rPr>
                <w:color w:val="333333"/>
                <w:sz w:val="20"/>
              </w:rPr>
              <w:t>Opportunities for technology as a tool to support learning and teaching in all areas are identified in curriculum planning.</w:t>
            </w:r>
          </w:p>
        </w:tc>
      </w:tr>
      <w:tr w:rsidR="00CB19D3" w:rsidRPr="00642E12" w14:paraId="59A74735" w14:textId="77777777" w:rsidTr="006D3A54">
        <w:trPr>
          <w:trHeight w:val="230"/>
        </w:trPr>
        <w:tc>
          <w:tcPr>
            <w:tcW w:w="11057" w:type="dxa"/>
            <w:shd w:val="clear" w:color="auto" w:fill="D99594" w:themeFill="accent2" w:themeFillTint="99"/>
          </w:tcPr>
          <w:p w14:paraId="6F7AEB71" w14:textId="77777777" w:rsidR="00CB19D3" w:rsidRPr="00642E12" w:rsidRDefault="005C2AF5">
            <w:pPr>
              <w:pStyle w:val="TableParagraph"/>
              <w:spacing w:line="210" w:lineRule="exact"/>
              <w:rPr>
                <w:rFonts w:asciiTheme="minorHAnsi" w:hAnsiTheme="minorHAnsi" w:cstheme="minorHAnsi"/>
                <w:b/>
                <w:sz w:val="20"/>
              </w:rPr>
            </w:pPr>
            <w:r w:rsidRPr="00642E12">
              <w:rPr>
                <w:rFonts w:asciiTheme="minorHAnsi" w:hAnsiTheme="minorHAnsi" w:cstheme="minorHAnsi"/>
                <w:b/>
                <w:spacing w:val="-2"/>
                <w:sz w:val="20"/>
              </w:rPr>
              <w:t>Impact</w:t>
            </w:r>
          </w:p>
        </w:tc>
      </w:tr>
      <w:tr w:rsidR="00CB19D3" w:rsidRPr="00642E12" w14:paraId="23FC3C2A" w14:textId="77777777" w:rsidTr="006D3A54">
        <w:trPr>
          <w:trHeight w:val="2860"/>
        </w:trPr>
        <w:tc>
          <w:tcPr>
            <w:tcW w:w="11057" w:type="dxa"/>
            <w:vAlign w:val="center"/>
          </w:tcPr>
          <w:p w14:paraId="2D8A0C07" w14:textId="17C06052" w:rsidR="00CB19D3" w:rsidRPr="00293247" w:rsidRDefault="000A37CE" w:rsidP="006D3A54">
            <w:pPr>
              <w:pStyle w:val="TableParagraph"/>
              <w:ind w:right="93"/>
              <w:rPr>
                <w:sz w:val="20"/>
              </w:rPr>
            </w:pPr>
            <w:r w:rsidRPr="00EC12F9">
              <w:rPr>
                <w:sz w:val="20"/>
              </w:rPr>
              <w:t xml:space="preserve">As a school, we strive to ensure our children’s progress is in line with or exceeds national expectations, whatever their starting point in primary education. </w:t>
            </w:r>
            <w:r w:rsidR="00921473" w:rsidRPr="00EC12F9">
              <w:rPr>
                <w:sz w:val="20"/>
              </w:rPr>
              <w:t>We encourage our children to enjoy and value the curriculum we deliver.</w:t>
            </w:r>
            <w:r w:rsidR="00EC12F9" w:rsidRPr="00EC12F9">
              <w:rPr>
                <w:sz w:val="20"/>
              </w:rPr>
              <w:t xml:space="preserve"> </w:t>
            </w:r>
            <w:r w:rsidR="00DC242C" w:rsidRPr="00EC12F9">
              <w:rPr>
                <w:sz w:val="20"/>
              </w:rPr>
              <w:t xml:space="preserve">Children are encouraged to </w:t>
            </w:r>
            <w:r w:rsidR="00921473" w:rsidRPr="00EC12F9">
              <w:rPr>
                <w:sz w:val="20"/>
              </w:rPr>
              <w:t xml:space="preserve">discuss, reflect and appreciate the impact computing has on their learning, development and </w:t>
            </w:r>
            <w:proofErr w:type="spellStart"/>
            <w:proofErr w:type="gramStart"/>
            <w:r w:rsidR="00921473" w:rsidRPr="00EC12F9">
              <w:rPr>
                <w:sz w:val="20"/>
              </w:rPr>
              <w:t>well being</w:t>
            </w:r>
            <w:proofErr w:type="spellEnd"/>
            <w:proofErr w:type="gramEnd"/>
            <w:r w:rsidR="00921473" w:rsidRPr="00EC12F9">
              <w:rPr>
                <w:sz w:val="20"/>
              </w:rPr>
              <w:t xml:space="preserve">. </w:t>
            </w:r>
            <w:r w:rsidR="00BD6B87" w:rsidRPr="00EC12F9">
              <w:rPr>
                <w:sz w:val="20"/>
              </w:rPr>
              <w:t xml:space="preserve">Through this, children can address misconceptions, experience </w:t>
            </w:r>
            <w:proofErr w:type="gramStart"/>
            <w:r w:rsidR="00BD6B87" w:rsidRPr="00EC12F9">
              <w:rPr>
                <w:sz w:val="20"/>
              </w:rPr>
              <w:t>challenge</w:t>
            </w:r>
            <w:proofErr w:type="gramEnd"/>
            <w:r w:rsidR="00BD6B87" w:rsidRPr="00EC12F9">
              <w:rPr>
                <w:sz w:val="20"/>
              </w:rPr>
              <w:t xml:space="preserve">, provide reasoning and problem solve together. </w:t>
            </w:r>
            <w:r w:rsidR="00921473" w:rsidRPr="00EC12F9">
              <w:rPr>
                <w:sz w:val="20"/>
              </w:rPr>
              <w:t xml:space="preserve">Finding the right balance with technology is key to an effective education and a healthy </w:t>
            </w:r>
            <w:proofErr w:type="gramStart"/>
            <w:r w:rsidR="00921473" w:rsidRPr="00EC12F9">
              <w:rPr>
                <w:sz w:val="20"/>
              </w:rPr>
              <w:t>life-style</w:t>
            </w:r>
            <w:proofErr w:type="gramEnd"/>
            <w:r w:rsidR="00921473" w:rsidRPr="00EC12F9">
              <w:rPr>
                <w:sz w:val="20"/>
              </w:rPr>
              <w:t xml:space="preserve">. We feel the way we implement computing helps children realise the need for the right balance and one they can continue to build on in their next stage of education and beyond. We encourage regular discussions between staff and pupils to best embed and understand this. The way </w:t>
            </w:r>
            <w:proofErr w:type="gramStart"/>
            <w:r w:rsidR="00921473" w:rsidRPr="00EC12F9">
              <w:rPr>
                <w:sz w:val="20"/>
              </w:rPr>
              <w:t>pupils</w:t>
            </w:r>
            <w:proofErr w:type="gramEnd"/>
            <w:r w:rsidR="00921473" w:rsidRPr="00EC12F9">
              <w:rPr>
                <w:sz w:val="20"/>
              </w:rPr>
              <w:t xml:space="preserve"> showcase, share, celebrate and publish their work will best show the impact of our curriculum. We also look for evidence through reviewing pupil’s knowledge and skills digitally through tools like Seesaw</w:t>
            </w:r>
            <w:r w:rsidR="007005AD">
              <w:rPr>
                <w:sz w:val="20"/>
              </w:rPr>
              <w:t xml:space="preserve">, </w:t>
            </w:r>
            <w:r w:rsidR="00921473" w:rsidRPr="00EC12F9">
              <w:rPr>
                <w:sz w:val="20"/>
              </w:rPr>
              <w:t>observing learning regularly</w:t>
            </w:r>
            <w:r w:rsidR="007005AD">
              <w:rPr>
                <w:sz w:val="20"/>
              </w:rPr>
              <w:t xml:space="preserve"> and taking ‘pupil voice’ </w:t>
            </w:r>
            <w:r w:rsidR="00FA50C7">
              <w:rPr>
                <w:sz w:val="20"/>
              </w:rPr>
              <w:t>to dig deeper into children’s understanding, progress and attitude towards the subject</w:t>
            </w:r>
            <w:r w:rsidR="00921473" w:rsidRPr="00EC12F9">
              <w:rPr>
                <w:sz w:val="20"/>
              </w:rPr>
              <w:t>. Progress of our computing curriculum is demonstrated through outcomes and the record of coverage in the process of achieving these outcomes.</w:t>
            </w:r>
          </w:p>
        </w:tc>
      </w:tr>
      <w:tr w:rsidR="00CB19D3" w:rsidRPr="00642E12" w14:paraId="7619B07E" w14:textId="77777777" w:rsidTr="006D3A54">
        <w:trPr>
          <w:trHeight w:val="153"/>
        </w:trPr>
        <w:tc>
          <w:tcPr>
            <w:tcW w:w="11057" w:type="dxa"/>
            <w:tcBorders>
              <w:bottom w:val="single" w:sz="4" w:space="0" w:color="auto"/>
            </w:tcBorders>
            <w:shd w:val="clear" w:color="auto" w:fill="D99594" w:themeFill="accent2" w:themeFillTint="99"/>
          </w:tcPr>
          <w:p w14:paraId="07161B15" w14:textId="3E293B3C" w:rsidR="00642E12" w:rsidRPr="00642E12" w:rsidRDefault="005C2AF5" w:rsidP="00757C0E">
            <w:pPr>
              <w:pStyle w:val="TableParagraph"/>
              <w:spacing w:before="1" w:line="228" w:lineRule="exact"/>
              <w:jc w:val="both"/>
              <w:rPr>
                <w:rFonts w:asciiTheme="minorHAnsi" w:hAnsiTheme="minorHAnsi" w:cstheme="minorHAnsi"/>
                <w:sz w:val="20"/>
              </w:rPr>
            </w:pPr>
            <w:r w:rsidRPr="00642E12">
              <w:rPr>
                <w:rFonts w:asciiTheme="minorHAnsi" w:hAnsiTheme="minorHAnsi" w:cstheme="minorHAnsi"/>
                <w:b/>
                <w:sz w:val="20"/>
              </w:rPr>
              <w:t>How</w:t>
            </w:r>
            <w:r w:rsidRPr="00642E12">
              <w:rPr>
                <w:rFonts w:asciiTheme="minorHAnsi" w:hAnsiTheme="minorHAnsi" w:cstheme="minorHAnsi"/>
                <w:b/>
                <w:spacing w:val="-5"/>
                <w:sz w:val="20"/>
              </w:rPr>
              <w:t xml:space="preserve"> </w:t>
            </w:r>
            <w:r w:rsidRPr="00642E12">
              <w:rPr>
                <w:rFonts w:asciiTheme="minorHAnsi" w:hAnsiTheme="minorHAnsi" w:cstheme="minorHAnsi"/>
                <w:b/>
                <w:sz w:val="20"/>
              </w:rPr>
              <w:t>we</w:t>
            </w:r>
            <w:r w:rsidRPr="00642E12">
              <w:rPr>
                <w:rFonts w:asciiTheme="minorHAnsi" w:hAnsiTheme="minorHAnsi" w:cstheme="minorHAnsi"/>
                <w:b/>
                <w:spacing w:val="-5"/>
                <w:sz w:val="20"/>
              </w:rPr>
              <w:t xml:space="preserve"> </w:t>
            </w:r>
            <w:r w:rsidRPr="00642E12">
              <w:rPr>
                <w:rFonts w:asciiTheme="minorHAnsi" w:hAnsiTheme="minorHAnsi" w:cstheme="minorHAnsi"/>
                <w:b/>
                <w:sz w:val="20"/>
              </w:rPr>
              <w:t>support</w:t>
            </w:r>
            <w:r w:rsidRPr="00642E12">
              <w:rPr>
                <w:rFonts w:asciiTheme="minorHAnsi" w:hAnsiTheme="minorHAnsi" w:cstheme="minorHAnsi"/>
                <w:b/>
                <w:spacing w:val="-4"/>
                <w:sz w:val="20"/>
              </w:rPr>
              <w:t xml:space="preserve"> </w:t>
            </w:r>
            <w:r w:rsidRPr="00642E12">
              <w:rPr>
                <w:rFonts w:asciiTheme="minorHAnsi" w:hAnsiTheme="minorHAnsi" w:cstheme="minorHAnsi"/>
                <w:b/>
                <w:sz w:val="20"/>
              </w:rPr>
              <w:t>children</w:t>
            </w:r>
            <w:r w:rsidRPr="00642E12">
              <w:rPr>
                <w:rFonts w:asciiTheme="minorHAnsi" w:hAnsiTheme="minorHAnsi" w:cstheme="minorHAnsi"/>
                <w:b/>
                <w:spacing w:val="-6"/>
                <w:sz w:val="20"/>
              </w:rPr>
              <w:t xml:space="preserve"> </w:t>
            </w:r>
            <w:r w:rsidRPr="00642E12">
              <w:rPr>
                <w:rFonts w:asciiTheme="minorHAnsi" w:hAnsiTheme="minorHAnsi" w:cstheme="minorHAnsi"/>
                <w:b/>
                <w:sz w:val="20"/>
              </w:rPr>
              <w:t>with</w:t>
            </w:r>
            <w:r w:rsidRPr="00642E12">
              <w:rPr>
                <w:rFonts w:asciiTheme="minorHAnsi" w:hAnsiTheme="minorHAnsi" w:cstheme="minorHAnsi"/>
                <w:b/>
                <w:spacing w:val="-6"/>
                <w:sz w:val="20"/>
              </w:rPr>
              <w:t xml:space="preserve"> </w:t>
            </w:r>
            <w:r w:rsidRPr="00642E12">
              <w:rPr>
                <w:rFonts w:asciiTheme="minorHAnsi" w:hAnsiTheme="minorHAnsi" w:cstheme="minorHAnsi"/>
                <w:b/>
                <w:sz w:val="20"/>
              </w:rPr>
              <w:t>Special</w:t>
            </w:r>
            <w:r w:rsidRPr="00642E12">
              <w:rPr>
                <w:rFonts w:asciiTheme="minorHAnsi" w:hAnsiTheme="minorHAnsi" w:cstheme="minorHAnsi"/>
                <w:b/>
                <w:spacing w:val="-6"/>
                <w:sz w:val="20"/>
              </w:rPr>
              <w:t xml:space="preserve"> </w:t>
            </w:r>
            <w:r w:rsidRPr="00642E12">
              <w:rPr>
                <w:rFonts w:asciiTheme="minorHAnsi" w:hAnsiTheme="minorHAnsi" w:cstheme="minorHAnsi"/>
                <w:b/>
                <w:sz w:val="20"/>
              </w:rPr>
              <w:t>Educational</w:t>
            </w:r>
            <w:r w:rsidRPr="00642E12">
              <w:rPr>
                <w:rFonts w:asciiTheme="minorHAnsi" w:hAnsiTheme="minorHAnsi" w:cstheme="minorHAnsi"/>
                <w:b/>
                <w:spacing w:val="-5"/>
                <w:sz w:val="20"/>
              </w:rPr>
              <w:t xml:space="preserve"> </w:t>
            </w:r>
            <w:r w:rsidRPr="00642E12">
              <w:rPr>
                <w:rFonts w:asciiTheme="minorHAnsi" w:hAnsiTheme="minorHAnsi" w:cstheme="minorHAnsi"/>
                <w:b/>
                <w:sz w:val="20"/>
              </w:rPr>
              <w:t>Needs</w:t>
            </w:r>
            <w:r w:rsidRPr="00642E12">
              <w:rPr>
                <w:rFonts w:asciiTheme="minorHAnsi" w:hAnsiTheme="minorHAnsi" w:cstheme="minorHAnsi"/>
                <w:b/>
                <w:spacing w:val="-6"/>
                <w:sz w:val="20"/>
              </w:rPr>
              <w:t xml:space="preserve"> </w:t>
            </w:r>
            <w:r w:rsidRPr="00642E12">
              <w:rPr>
                <w:rFonts w:asciiTheme="minorHAnsi" w:hAnsiTheme="minorHAnsi" w:cstheme="minorHAnsi"/>
                <w:b/>
                <w:sz w:val="20"/>
              </w:rPr>
              <w:t>in</w:t>
            </w:r>
            <w:r w:rsidRPr="00642E12">
              <w:rPr>
                <w:rFonts w:asciiTheme="minorHAnsi" w:hAnsiTheme="minorHAnsi" w:cstheme="minorHAnsi"/>
                <w:b/>
                <w:spacing w:val="-6"/>
                <w:sz w:val="20"/>
              </w:rPr>
              <w:t xml:space="preserve"> </w:t>
            </w:r>
            <w:r w:rsidRPr="00642E12">
              <w:rPr>
                <w:rFonts w:asciiTheme="minorHAnsi" w:hAnsiTheme="minorHAnsi" w:cstheme="minorHAnsi"/>
                <w:b/>
                <w:sz w:val="20"/>
              </w:rPr>
              <w:t>this</w:t>
            </w:r>
            <w:r w:rsidRPr="00642E12">
              <w:rPr>
                <w:rFonts w:asciiTheme="minorHAnsi" w:hAnsiTheme="minorHAnsi" w:cstheme="minorHAnsi"/>
                <w:b/>
                <w:spacing w:val="-4"/>
                <w:sz w:val="20"/>
              </w:rPr>
              <w:t xml:space="preserve"> </w:t>
            </w:r>
            <w:r w:rsidRPr="00642E12">
              <w:rPr>
                <w:rFonts w:asciiTheme="minorHAnsi" w:hAnsiTheme="minorHAnsi" w:cstheme="minorHAnsi"/>
                <w:b/>
                <w:sz w:val="20"/>
              </w:rPr>
              <w:t>subject</w:t>
            </w:r>
            <w:r w:rsidRPr="00642E12">
              <w:rPr>
                <w:rFonts w:asciiTheme="minorHAnsi" w:hAnsiTheme="minorHAnsi" w:cstheme="minorHAnsi"/>
                <w:b/>
                <w:spacing w:val="-5"/>
                <w:sz w:val="20"/>
              </w:rPr>
              <w:t xml:space="preserve"> </w:t>
            </w:r>
            <w:r w:rsidRPr="00642E12">
              <w:rPr>
                <w:rFonts w:asciiTheme="minorHAnsi" w:hAnsiTheme="minorHAnsi" w:cstheme="minorHAnsi"/>
                <w:b/>
                <w:spacing w:val="-2"/>
                <w:sz w:val="20"/>
              </w:rPr>
              <w:t>area:</w:t>
            </w:r>
          </w:p>
        </w:tc>
      </w:tr>
      <w:tr w:rsidR="00757C0E" w:rsidRPr="00642E12" w14:paraId="3508886C" w14:textId="77777777" w:rsidTr="006D3A54">
        <w:trPr>
          <w:trHeight w:val="2992"/>
        </w:trPr>
        <w:tc>
          <w:tcPr>
            <w:tcW w:w="11057" w:type="dxa"/>
            <w:tcBorders>
              <w:top w:val="single" w:sz="4" w:space="0" w:color="auto"/>
            </w:tcBorders>
            <w:vAlign w:val="center"/>
          </w:tcPr>
          <w:p w14:paraId="27C2A8FA" w14:textId="77777777" w:rsidR="00757C0E" w:rsidRDefault="00757C0E" w:rsidP="006D3A54">
            <w:pPr>
              <w:pStyle w:val="TableParagraph"/>
              <w:ind w:right="92"/>
              <w:rPr>
                <w:sz w:val="20"/>
              </w:rPr>
            </w:pPr>
            <w:r>
              <w:rPr>
                <w:sz w:val="20"/>
              </w:rPr>
              <w:t>We</w:t>
            </w:r>
            <w:r w:rsidRPr="006D3A54">
              <w:rPr>
                <w:sz w:val="20"/>
              </w:rPr>
              <w:t xml:space="preserve"> </w:t>
            </w:r>
            <w:r>
              <w:rPr>
                <w:sz w:val="20"/>
              </w:rPr>
              <w:t>believe</w:t>
            </w:r>
            <w:r w:rsidRPr="006D3A54">
              <w:rPr>
                <w:sz w:val="20"/>
              </w:rPr>
              <w:t xml:space="preserve"> </w:t>
            </w:r>
            <w:r>
              <w:rPr>
                <w:sz w:val="20"/>
              </w:rPr>
              <w:t>all</w:t>
            </w:r>
            <w:r w:rsidRPr="006D3A54">
              <w:rPr>
                <w:sz w:val="20"/>
              </w:rPr>
              <w:t xml:space="preserve"> </w:t>
            </w:r>
            <w:r>
              <w:rPr>
                <w:sz w:val="20"/>
              </w:rPr>
              <w:t>pupils</w:t>
            </w:r>
            <w:r w:rsidRPr="006D3A54">
              <w:rPr>
                <w:sz w:val="20"/>
              </w:rPr>
              <w:t xml:space="preserve"> </w:t>
            </w:r>
            <w:r>
              <w:rPr>
                <w:sz w:val="20"/>
              </w:rPr>
              <w:t>should</w:t>
            </w:r>
            <w:r w:rsidRPr="006D3A54">
              <w:rPr>
                <w:sz w:val="20"/>
              </w:rPr>
              <w:t xml:space="preserve"> </w:t>
            </w:r>
            <w:r>
              <w:rPr>
                <w:sz w:val="20"/>
              </w:rPr>
              <w:t>have</w:t>
            </w:r>
            <w:r w:rsidRPr="006D3A54">
              <w:rPr>
                <w:sz w:val="20"/>
              </w:rPr>
              <w:t xml:space="preserve"> </w:t>
            </w:r>
            <w:r>
              <w:rPr>
                <w:sz w:val="20"/>
              </w:rPr>
              <w:t>the</w:t>
            </w:r>
            <w:r w:rsidRPr="006D3A54">
              <w:rPr>
                <w:sz w:val="20"/>
              </w:rPr>
              <w:t xml:space="preserve"> </w:t>
            </w:r>
            <w:r>
              <w:rPr>
                <w:sz w:val="20"/>
              </w:rPr>
              <w:t>opportunity</w:t>
            </w:r>
            <w:r w:rsidRPr="006D3A54">
              <w:rPr>
                <w:sz w:val="20"/>
              </w:rPr>
              <w:t xml:space="preserve"> </w:t>
            </w:r>
            <w:r>
              <w:rPr>
                <w:sz w:val="20"/>
              </w:rPr>
              <w:t>to</w:t>
            </w:r>
            <w:r w:rsidRPr="006D3A54">
              <w:rPr>
                <w:sz w:val="20"/>
              </w:rPr>
              <w:t xml:space="preserve"> </w:t>
            </w:r>
            <w:r>
              <w:rPr>
                <w:sz w:val="20"/>
              </w:rPr>
              <w:t>learn</w:t>
            </w:r>
            <w:r w:rsidRPr="006D3A54">
              <w:rPr>
                <w:sz w:val="20"/>
              </w:rPr>
              <w:t xml:space="preserve"> </w:t>
            </w:r>
            <w:r>
              <w:rPr>
                <w:sz w:val="20"/>
              </w:rPr>
              <w:t>to</w:t>
            </w:r>
            <w:r w:rsidRPr="006D3A54">
              <w:rPr>
                <w:sz w:val="20"/>
              </w:rPr>
              <w:t xml:space="preserve"> </w:t>
            </w:r>
            <w:r>
              <w:rPr>
                <w:sz w:val="20"/>
              </w:rPr>
              <w:t>the</w:t>
            </w:r>
            <w:r w:rsidRPr="006D3A54">
              <w:rPr>
                <w:sz w:val="20"/>
              </w:rPr>
              <w:t xml:space="preserve"> </w:t>
            </w:r>
            <w:r>
              <w:rPr>
                <w:sz w:val="20"/>
              </w:rPr>
              <w:t>best</w:t>
            </w:r>
            <w:r w:rsidRPr="006D3A54">
              <w:rPr>
                <w:sz w:val="20"/>
              </w:rPr>
              <w:t xml:space="preserve"> </w:t>
            </w:r>
            <w:r>
              <w:rPr>
                <w:sz w:val="20"/>
              </w:rPr>
              <w:t>of</w:t>
            </w:r>
            <w:r w:rsidRPr="006D3A54">
              <w:rPr>
                <w:sz w:val="20"/>
              </w:rPr>
              <w:t xml:space="preserve"> </w:t>
            </w:r>
            <w:r>
              <w:rPr>
                <w:sz w:val="20"/>
              </w:rPr>
              <w:t>their</w:t>
            </w:r>
            <w:r w:rsidRPr="006D3A54">
              <w:rPr>
                <w:sz w:val="20"/>
              </w:rPr>
              <w:t xml:space="preserve"> </w:t>
            </w:r>
            <w:r>
              <w:rPr>
                <w:sz w:val="20"/>
              </w:rPr>
              <w:t>capabilities</w:t>
            </w:r>
            <w:r w:rsidRPr="006D3A54">
              <w:rPr>
                <w:sz w:val="20"/>
              </w:rPr>
              <w:t xml:space="preserve"> </w:t>
            </w:r>
            <w:r>
              <w:rPr>
                <w:sz w:val="20"/>
              </w:rPr>
              <w:t>through</w:t>
            </w:r>
            <w:r w:rsidRPr="006D3A54">
              <w:rPr>
                <w:sz w:val="20"/>
              </w:rPr>
              <w:t xml:space="preserve"> </w:t>
            </w:r>
            <w:r>
              <w:rPr>
                <w:sz w:val="20"/>
              </w:rPr>
              <w:t>a</w:t>
            </w:r>
            <w:r w:rsidRPr="006D3A54">
              <w:rPr>
                <w:sz w:val="20"/>
              </w:rPr>
              <w:t xml:space="preserve"> </w:t>
            </w:r>
            <w:r>
              <w:rPr>
                <w:sz w:val="20"/>
              </w:rPr>
              <w:t>broad</w:t>
            </w:r>
            <w:r w:rsidRPr="006D3A54">
              <w:rPr>
                <w:sz w:val="20"/>
              </w:rPr>
              <w:t xml:space="preserve"> </w:t>
            </w:r>
            <w:r>
              <w:rPr>
                <w:sz w:val="20"/>
              </w:rPr>
              <w:t>and</w:t>
            </w:r>
            <w:r w:rsidRPr="006D3A54">
              <w:rPr>
                <w:sz w:val="20"/>
              </w:rPr>
              <w:t xml:space="preserve"> </w:t>
            </w:r>
            <w:r>
              <w:rPr>
                <w:sz w:val="20"/>
              </w:rPr>
              <w:t>balanced,</w:t>
            </w:r>
            <w:r w:rsidRPr="006D3A54">
              <w:rPr>
                <w:sz w:val="20"/>
              </w:rPr>
              <w:t xml:space="preserve"> </w:t>
            </w:r>
            <w:r>
              <w:rPr>
                <w:sz w:val="20"/>
              </w:rPr>
              <w:t>inclusive curriculum.</w:t>
            </w:r>
            <w:r w:rsidRPr="006D3A54">
              <w:rPr>
                <w:sz w:val="20"/>
              </w:rPr>
              <w:t xml:space="preserve"> </w:t>
            </w:r>
            <w:r>
              <w:rPr>
                <w:sz w:val="20"/>
              </w:rPr>
              <w:t>This</w:t>
            </w:r>
            <w:r w:rsidRPr="006D3A54">
              <w:rPr>
                <w:sz w:val="20"/>
              </w:rPr>
              <w:t xml:space="preserve"> </w:t>
            </w:r>
            <w:r>
              <w:rPr>
                <w:sz w:val="20"/>
              </w:rPr>
              <w:t>means</w:t>
            </w:r>
            <w:r w:rsidRPr="006D3A54">
              <w:rPr>
                <w:sz w:val="20"/>
              </w:rPr>
              <w:t xml:space="preserve"> </w:t>
            </w:r>
            <w:r>
              <w:rPr>
                <w:sz w:val="20"/>
              </w:rPr>
              <w:t>that</w:t>
            </w:r>
            <w:r w:rsidRPr="006D3A54">
              <w:rPr>
                <w:sz w:val="20"/>
              </w:rPr>
              <w:t xml:space="preserve"> </w:t>
            </w:r>
            <w:r>
              <w:rPr>
                <w:sz w:val="20"/>
              </w:rPr>
              <w:t>every</w:t>
            </w:r>
            <w:r w:rsidRPr="006D3A54">
              <w:rPr>
                <w:sz w:val="20"/>
              </w:rPr>
              <w:t xml:space="preserve"> </w:t>
            </w:r>
            <w:r>
              <w:rPr>
                <w:sz w:val="20"/>
              </w:rPr>
              <w:t>child,</w:t>
            </w:r>
            <w:r w:rsidRPr="006D3A54">
              <w:rPr>
                <w:sz w:val="20"/>
              </w:rPr>
              <w:t xml:space="preserve"> </w:t>
            </w:r>
            <w:r>
              <w:rPr>
                <w:sz w:val="20"/>
              </w:rPr>
              <w:t>including</w:t>
            </w:r>
            <w:r w:rsidRPr="006D3A54">
              <w:rPr>
                <w:sz w:val="20"/>
              </w:rPr>
              <w:t xml:space="preserve"> </w:t>
            </w:r>
            <w:r>
              <w:rPr>
                <w:sz w:val="20"/>
              </w:rPr>
              <w:t>those</w:t>
            </w:r>
            <w:r w:rsidRPr="006D3A54">
              <w:rPr>
                <w:sz w:val="20"/>
              </w:rPr>
              <w:t xml:space="preserve"> </w:t>
            </w:r>
            <w:r>
              <w:rPr>
                <w:sz w:val="20"/>
              </w:rPr>
              <w:t>with</w:t>
            </w:r>
            <w:r w:rsidRPr="006D3A54">
              <w:rPr>
                <w:sz w:val="20"/>
              </w:rPr>
              <w:t xml:space="preserve"> </w:t>
            </w:r>
            <w:r>
              <w:rPr>
                <w:sz w:val="20"/>
              </w:rPr>
              <w:t>a</w:t>
            </w:r>
            <w:r w:rsidRPr="006D3A54">
              <w:rPr>
                <w:sz w:val="20"/>
              </w:rPr>
              <w:t xml:space="preserve"> </w:t>
            </w:r>
            <w:r>
              <w:rPr>
                <w:sz w:val="20"/>
              </w:rPr>
              <w:t>Special</w:t>
            </w:r>
            <w:r w:rsidRPr="006D3A54">
              <w:rPr>
                <w:sz w:val="20"/>
              </w:rPr>
              <w:t xml:space="preserve"> </w:t>
            </w:r>
            <w:r>
              <w:rPr>
                <w:sz w:val="20"/>
              </w:rPr>
              <w:t>Educational</w:t>
            </w:r>
            <w:r w:rsidRPr="006D3A54">
              <w:rPr>
                <w:sz w:val="20"/>
              </w:rPr>
              <w:t xml:space="preserve"> </w:t>
            </w:r>
            <w:r>
              <w:rPr>
                <w:sz w:val="20"/>
              </w:rPr>
              <w:t>Need,</w:t>
            </w:r>
            <w:r w:rsidRPr="006D3A54">
              <w:rPr>
                <w:sz w:val="20"/>
              </w:rPr>
              <w:t xml:space="preserve"> </w:t>
            </w:r>
            <w:r>
              <w:rPr>
                <w:sz w:val="20"/>
              </w:rPr>
              <w:t>should</w:t>
            </w:r>
            <w:r w:rsidRPr="006D3A54">
              <w:rPr>
                <w:sz w:val="20"/>
              </w:rPr>
              <w:t xml:space="preserve"> </w:t>
            </w:r>
            <w:r>
              <w:rPr>
                <w:sz w:val="20"/>
              </w:rPr>
              <w:t>have</w:t>
            </w:r>
            <w:r w:rsidRPr="006D3A54">
              <w:rPr>
                <w:sz w:val="20"/>
              </w:rPr>
              <w:t xml:space="preserve"> </w:t>
            </w:r>
            <w:r>
              <w:rPr>
                <w:sz w:val="20"/>
              </w:rPr>
              <w:t>access</w:t>
            </w:r>
            <w:r w:rsidRPr="006D3A54">
              <w:rPr>
                <w:sz w:val="20"/>
              </w:rPr>
              <w:t xml:space="preserve"> </w:t>
            </w:r>
            <w:r>
              <w:rPr>
                <w:sz w:val="20"/>
              </w:rPr>
              <w:t>to</w:t>
            </w:r>
            <w:r w:rsidRPr="006D3A54">
              <w:rPr>
                <w:sz w:val="20"/>
              </w:rPr>
              <w:t xml:space="preserve"> </w:t>
            </w:r>
            <w:r>
              <w:rPr>
                <w:sz w:val="20"/>
              </w:rPr>
              <w:t>a</w:t>
            </w:r>
            <w:r w:rsidRPr="006D3A54">
              <w:rPr>
                <w:sz w:val="20"/>
              </w:rPr>
              <w:t xml:space="preserve"> </w:t>
            </w:r>
            <w:r>
              <w:rPr>
                <w:sz w:val="20"/>
              </w:rPr>
              <w:t>high</w:t>
            </w:r>
            <w:r w:rsidRPr="006D3A54">
              <w:rPr>
                <w:sz w:val="20"/>
              </w:rPr>
              <w:t xml:space="preserve"> </w:t>
            </w:r>
            <w:r>
              <w:rPr>
                <w:sz w:val="20"/>
              </w:rPr>
              <w:t>standard of</w:t>
            </w:r>
            <w:r w:rsidRPr="006D3A54">
              <w:rPr>
                <w:sz w:val="20"/>
              </w:rPr>
              <w:t xml:space="preserve"> </w:t>
            </w:r>
            <w:r>
              <w:rPr>
                <w:sz w:val="20"/>
              </w:rPr>
              <w:t>‘Quality</w:t>
            </w:r>
            <w:r w:rsidRPr="006D3A54">
              <w:rPr>
                <w:sz w:val="20"/>
              </w:rPr>
              <w:t xml:space="preserve"> </w:t>
            </w:r>
            <w:r>
              <w:rPr>
                <w:sz w:val="20"/>
              </w:rPr>
              <w:t>First</w:t>
            </w:r>
            <w:r w:rsidRPr="006D3A54">
              <w:rPr>
                <w:sz w:val="20"/>
              </w:rPr>
              <w:t xml:space="preserve"> </w:t>
            </w:r>
            <w:r>
              <w:rPr>
                <w:sz w:val="20"/>
              </w:rPr>
              <w:t>Teaching'</w:t>
            </w:r>
            <w:r w:rsidRPr="006D3A54">
              <w:rPr>
                <w:sz w:val="20"/>
              </w:rPr>
              <w:t xml:space="preserve"> </w:t>
            </w:r>
            <w:r>
              <w:rPr>
                <w:sz w:val="20"/>
              </w:rPr>
              <w:t>throughout</w:t>
            </w:r>
            <w:r w:rsidRPr="006D3A54">
              <w:rPr>
                <w:sz w:val="20"/>
              </w:rPr>
              <w:t xml:space="preserve"> </w:t>
            </w:r>
            <w:r>
              <w:rPr>
                <w:sz w:val="20"/>
              </w:rPr>
              <w:t>the</w:t>
            </w:r>
            <w:r w:rsidRPr="006D3A54">
              <w:rPr>
                <w:sz w:val="20"/>
              </w:rPr>
              <w:t xml:space="preserve"> </w:t>
            </w:r>
            <w:r>
              <w:rPr>
                <w:sz w:val="20"/>
              </w:rPr>
              <w:t>day</w:t>
            </w:r>
            <w:r w:rsidRPr="006D3A54">
              <w:rPr>
                <w:sz w:val="20"/>
              </w:rPr>
              <w:t xml:space="preserve"> </w:t>
            </w:r>
            <w:r>
              <w:rPr>
                <w:sz w:val="20"/>
              </w:rPr>
              <w:t>in</w:t>
            </w:r>
            <w:r w:rsidRPr="006D3A54">
              <w:rPr>
                <w:sz w:val="20"/>
              </w:rPr>
              <w:t xml:space="preserve"> </w:t>
            </w:r>
            <w:r>
              <w:rPr>
                <w:sz w:val="20"/>
              </w:rPr>
              <w:t>every</w:t>
            </w:r>
            <w:r w:rsidRPr="006D3A54">
              <w:rPr>
                <w:sz w:val="20"/>
              </w:rPr>
              <w:t xml:space="preserve"> </w:t>
            </w:r>
            <w:r>
              <w:rPr>
                <w:sz w:val="20"/>
              </w:rPr>
              <w:t>curriculum</w:t>
            </w:r>
            <w:r w:rsidRPr="006D3A54">
              <w:rPr>
                <w:sz w:val="20"/>
              </w:rPr>
              <w:t xml:space="preserve"> </w:t>
            </w:r>
            <w:r>
              <w:rPr>
                <w:sz w:val="20"/>
              </w:rPr>
              <w:t>subject.</w:t>
            </w:r>
            <w:r w:rsidRPr="006D3A54">
              <w:rPr>
                <w:sz w:val="20"/>
              </w:rPr>
              <w:t xml:space="preserve"> </w:t>
            </w:r>
            <w:r>
              <w:rPr>
                <w:sz w:val="20"/>
              </w:rPr>
              <w:t>Teachers</w:t>
            </w:r>
            <w:r w:rsidRPr="006D3A54">
              <w:rPr>
                <w:sz w:val="20"/>
              </w:rPr>
              <w:t xml:space="preserve"> </w:t>
            </w:r>
            <w:r>
              <w:rPr>
                <w:sz w:val="20"/>
              </w:rPr>
              <w:t>use</w:t>
            </w:r>
            <w:r w:rsidRPr="006D3A54">
              <w:rPr>
                <w:sz w:val="20"/>
              </w:rPr>
              <w:t xml:space="preserve"> </w:t>
            </w:r>
            <w:r>
              <w:rPr>
                <w:sz w:val="20"/>
              </w:rPr>
              <w:t>a</w:t>
            </w:r>
            <w:r w:rsidRPr="006D3A54">
              <w:rPr>
                <w:sz w:val="20"/>
              </w:rPr>
              <w:t xml:space="preserve"> </w:t>
            </w:r>
            <w:r>
              <w:rPr>
                <w:sz w:val="20"/>
              </w:rPr>
              <w:t>range</w:t>
            </w:r>
            <w:r w:rsidRPr="006D3A54">
              <w:rPr>
                <w:sz w:val="20"/>
              </w:rPr>
              <w:t xml:space="preserve"> </w:t>
            </w:r>
            <w:r>
              <w:rPr>
                <w:sz w:val="20"/>
              </w:rPr>
              <w:t>of</w:t>
            </w:r>
            <w:r w:rsidRPr="006D3A54">
              <w:rPr>
                <w:sz w:val="20"/>
              </w:rPr>
              <w:t xml:space="preserve"> </w:t>
            </w:r>
            <w:r>
              <w:rPr>
                <w:sz w:val="20"/>
              </w:rPr>
              <w:t>teaching</w:t>
            </w:r>
            <w:r w:rsidRPr="006D3A54">
              <w:rPr>
                <w:sz w:val="20"/>
              </w:rPr>
              <w:t xml:space="preserve"> </w:t>
            </w:r>
            <w:r>
              <w:rPr>
                <w:sz w:val="20"/>
              </w:rPr>
              <w:t>and</w:t>
            </w:r>
            <w:r w:rsidRPr="006D3A54">
              <w:rPr>
                <w:sz w:val="20"/>
              </w:rPr>
              <w:t xml:space="preserve"> </w:t>
            </w:r>
            <w:r>
              <w:rPr>
                <w:sz w:val="20"/>
              </w:rPr>
              <w:t>learning</w:t>
            </w:r>
            <w:r w:rsidRPr="006D3A54">
              <w:rPr>
                <w:sz w:val="20"/>
              </w:rPr>
              <w:t xml:space="preserve"> </w:t>
            </w:r>
            <w:r>
              <w:rPr>
                <w:sz w:val="20"/>
              </w:rPr>
              <w:t>styles and appropriate learning objectives are set for all children with a curriculum matched to their needs.</w:t>
            </w:r>
          </w:p>
          <w:p w14:paraId="71D9598E" w14:textId="26650C96" w:rsidR="00757C0E" w:rsidRDefault="00757C0E" w:rsidP="006D3A54">
            <w:pPr>
              <w:pStyle w:val="TableParagraph"/>
              <w:ind w:right="92"/>
              <w:rPr>
                <w:sz w:val="20"/>
              </w:rPr>
            </w:pPr>
            <w:r>
              <w:rPr>
                <w:sz w:val="20"/>
              </w:rPr>
              <w:t xml:space="preserve">In </w:t>
            </w:r>
            <w:r w:rsidR="00181B8A">
              <w:rPr>
                <w:sz w:val="20"/>
              </w:rPr>
              <w:t>computing</w:t>
            </w:r>
            <w:r>
              <w:rPr>
                <w:sz w:val="20"/>
              </w:rPr>
              <w:t xml:space="preserve">, our pupils with a </w:t>
            </w:r>
            <w:r w:rsidR="006D251A">
              <w:rPr>
                <w:sz w:val="20"/>
              </w:rPr>
              <w:t xml:space="preserve">special educational need </w:t>
            </w:r>
            <w:r>
              <w:rPr>
                <w:sz w:val="20"/>
              </w:rPr>
              <w:t>are supported by using a progression of skills combined with structures or materials that allow them to access their learning.</w:t>
            </w:r>
            <w:r w:rsidRPr="006D3A54">
              <w:rPr>
                <w:sz w:val="20"/>
              </w:rPr>
              <w:t xml:space="preserve"> </w:t>
            </w:r>
            <w:r>
              <w:rPr>
                <w:sz w:val="20"/>
              </w:rPr>
              <w:t>This allows</w:t>
            </w:r>
            <w:r w:rsidRPr="006D3A54">
              <w:rPr>
                <w:sz w:val="20"/>
              </w:rPr>
              <w:t xml:space="preserve"> </w:t>
            </w:r>
            <w:r>
              <w:rPr>
                <w:sz w:val="20"/>
              </w:rPr>
              <w:t>children</w:t>
            </w:r>
            <w:r w:rsidRPr="006D3A54">
              <w:rPr>
                <w:sz w:val="20"/>
              </w:rPr>
              <w:t xml:space="preserve"> </w:t>
            </w:r>
            <w:r>
              <w:rPr>
                <w:sz w:val="20"/>
              </w:rPr>
              <w:t>to</w:t>
            </w:r>
            <w:r w:rsidRPr="006D3A54">
              <w:rPr>
                <w:sz w:val="20"/>
              </w:rPr>
              <w:t xml:space="preserve"> </w:t>
            </w:r>
            <w:r>
              <w:rPr>
                <w:sz w:val="20"/>
              </w:rPr>
              <w:t>make</w:t>
            </w:r>
            <w:r w:rsidRPr="006D3A54">
              <w:rPr>
                <w:sz w:val="20"/>
              </w:rPr>
              <w:t xml:space="preserve"> </w:t>
            </w:r>
            <w:r>
              <w:rPr>
                <w:sz w:val="20"/>
              </w:rPr>
              <w:t>progress</w:t>
            </w:r>
            <w:r w:rsidRPr="006D3A54">
              <w:rPr>
                <w:sz w:val="20"/>
              </w:rPr>
              <w:t xml:space="preserve"> </w:t>
            </w:r>
            <w:r>
              <w:rPr>
                <w:sz w:val="20"/>
              </w:rPr>
              <w:t>from</w:t>
            </w:r>
            <w:r w:rsidRPr="006D3A54">
              <w:rPr>
                <w:sz w:val="20"/>
              </w:rPr>
              <w:t xml:space="preserve"> </w:t>
            </w:r>
            <w:r>
              <w:rPr>
                <w:sz w:val="20"/>
              </w:rPr>
              <w:t>whatever</w:t>
            </w:r>
            <w:r w:rsidRPr="006D3A54">
              <w:rPr>
                <w:sz w:val="20"/>
              </w:rPr>
              <w:t xml:space="preserve"> </w:t>
            </w:r>
            <w:r>
              <w:rPr>
                <w:sz w:val="20"/>
              </w:rPr>
              <w:t>their</w:t>
            </w:r>
            <w:r w:rsidRPr="006D3A54">
              <w:rPr>
                <w:sz w:val="20"/>
              </w:rPr>
              <w:t xml:space="preserve"> </w:t>
            </w:r>
            <w:r>
              <w:rPr>
                <w:sz w:val="20"/>
              </w:rPr>
              <w:t>starting</w:t>
            </w:r>
            <w:r w:rsidRPr="006D3A54">
              <w:rPr>
                <w:sz w:val="20"/>
              </w:rPr>
              <w:t xml:space="preserve"> </w:t>
            </w:r>
            <w:r>
              <w:rPr>
                <w:sz w:val="20"/>
              </w:rPr>
              <w:t>point.</w:t>
            </w:r>
            <w:r w:rsidRPr="006D3A54">
              <w:rPr>
                <w:sz w:val="20"/>
              </w:rPr>
              <w:t xml:space="preserve"> </w:t>
            </w:r>
            <w:r>
              <w:rPr>
                <w:sz w:val="20"/>
              </w:rPr>
              <w:t>Access arrangements might include classroom-organisation and grouping, visual resources, memory aids, pre-learning of key vocabulary and</w:t>
            </w:r>
            <w:r w:rsidRPr="006D3A54">
              <w:rPr>
                <w:sz w:val="20"/>
              </w:rPr>
              <w:t xml:space="preserve"> </w:t>
            </w:r>
            <w:r>
              <w:rPr>
                <w:sz w:val="20"/>
              </w:rPr>
              <w:t xml:space="preserve">concepts, and in some cases 1:1 and </w:t>
            </w:r>
            <w:proofErr w:type="spellStart"/>
            <w:r>
              <w:rPr>
                <w:sz w:val="20"/>
              </w:rPr>
              <w:t>personali</w:t>
            </w:r>
            <w:r w:rsidR="00181B8A">
              <w:rPr>
                <w:sz w:val="20"/>
              </w:rPr>
              <w:t>s</w:t>
            </w:r>
            <w:r>
              <w:rPr>
                <w:sz w:val="20"/>
              </w:rPr>
              <w:t>ed</w:t>
            </w:r>
            <w:proofErr w:type="spellEnd"/>
            <w:r>
              <w:rPr>
                <w:sz w:val="20"/>
              </w:rPr>
              <w:t xml:space="preserve"> teaching. </w:t>
            </w:r>
          </w:p>
          <w:p w14:paraId="63CFC6BF" w14:textId="28A17DDD" w:rsidR="00757C0E" w:rsidRPr="006D3A54" w:rsidRDefault="004F02A6" w:rsidP="006D3A54">
            <w:pPr>
              <w:pStyle w:val="TableParagraph"/>
              <w:ind w:right="92"/>
              <w:rPr>
                <w:sz w:val="20"/>
              </w:rPr>
            </w:pPr>
            <w:r>
              <w:rPr>
                <w:sz w:val="20"/>
              </w:rPr>
              <w:t>C</w:t>
            </w:r>
            <w:r w:rsidRPr="006D3A54">
              <w:rPr>
                <w:sz w:val="20"/>
              </w:rPr>
              <w:t>omputing and Information Technology are essential tools for inclusion.  They enable children with SEND, whatever their needs, to use technology purposefully in ways that make the wider curriculum accessible, empower those with communication difficulties to engage with others and to fully include everyone in activities and learning.</w:t>
            </w:r>
            <w:r w:rsidR="006D3A54">
              <w:rPr>
                <w:sz w:val="20"/>
              </w:rPr>
              <w:t xml:space="preserve"> We believe that children should be taught to harness developments in technology that will assist them in achieving within a broad and balanced curriculum. </w:t>
            </w:r>
          </w:p>
        </w:tc>
      </w:tr>
    </w:tbl>
    <w:p w14:paraId="5294D6FF" w14:textId="77777777" w:rsidR="005C2AF5" w:rsidRPr="00642E12" w:rsidRDefault="005C2AF5" w:rsidP="00CC63B2">
      <w:pPr>
        <w:rPr>
          <w:rFonts w:asciiTheme="minorHAnsi" w:hAnsiTheme="minorHAnsi" w:cstheme="minorHAnsi"/>
        </w:rPr>
      </w:pPr>
    </w:p>
    <w:sectPr w:rsidR="005C2AF5" w:rsidRPr="00642E12" w:rsidSect="006D3A54">
      <w:type w:val="continuous"/>
      <w:pgSz w:w="11910" w:h="16840"/>
      <w:pgMar w:top="300" w:right="220" w:bottom="142"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E5D5B"/>
    <w:multiLevelType w:val="hybridMultilevel"/>
    <w:tmpl w:val="58F2C18E"/>
    <w:lvl w:ilvl="0" w:tplc="08445B6C">
      <w:numFmt w:val="bullet"/>
      <w:lvlText w:val="•"/>
      <w:lvlJc w:val="left"/>
      <w:pPr>
        <w:ind w:left="107" w:hanging="118"/>
      </w:pPr>
      <w:rPr>
        <w:rFonts w:ascii="Times New Roman" w:eastAsia="Times New Roman" w:hAnsi="Times New Roman" w:cs="Times New Roman" w:hint="default"/>
        <w:b w:val="0"/>
        <w:bCs w:val="0"/>
        <w:i w:val="0"/>
        <w:iCs w:val="0"/>
        <w:color w:val="333333"/>
        <w:w w:val="99"/>
        <w:sz w:val="20"/>
        <w:szCs w:val="20"/>
        <w:lang w:val="en-US" w:eastAsia="en-US" w:bidi="ar-SA"/>
      </w:rPr>
    </w:lvl>
    <w:lvl w:ilvl="1" w:tplc="C27A6B4E">
      <w:numFmt w:val="bullet"/>
      <w:lvlText w:val="•"/>
      <w:lvlJc w:val="left"/>
      <w:pPr>
        <w:ind w:left="1123" w:hanging="118"/>
      </w:pPr>
      <w:rPr>
        <w:rFonts w:hint="default"/>
        <w:lang w:val="en-US" w:eastAsia="en-US" w:bidi="ar-SA"/>
      </w:rPr>
    </w:lvl>
    <w:lvl w:ilvl="2" w:tplc="0870F7A0">
      <w:numFmt w:val="bullet"/>
      <w:lvlText w:val="•"/>
      <w:lvlJc w:val="left"/>
      <w:pPr>
        <w:ind w:left="2147" w:hanging="118"/>
      </w:pPr>
      <w:rPr>
        <w:rFonts w:hint="default"/>
        <w:lang w:val="en-US" w:eastAsia="en-US" w:bidi="ar-SA"/>
      </w:rPr>
    </w:lvl>
    <w:lvl w:ilvl="3" w:tplc="3F7AA088">
      <w:numFmt w:val="bullet"/>
      <w:lvlText w:val="•"/>
      <w:lvlJc w:val="left"/>
      <w:pPr>
        <w:ind w:left="3171" w:hanging="118"/>
      </w:pPr>
      <w:rPr>
        <w:rFonts w:hint="default"/>
        <w:lang w:val="en-US" w:eastAsia="en-US" w:bidi="ar-SA"/>
      </w:rPr>
    </w:lvl>
    <w:lvl w:ilvl="4" w:tplc="F5A20DCE">
      <w:numFmt w:val="bullet"/>
      <w:lvlText w:val="•"/>
      <w:lvlJc w:val="left"/>
      <w:pPr>
        <w:ind w:left="4195" w:hanging="118"/>
      </w:pPr>
      <w:rPr>
        <w:rFonts w:hint="default"/>
        <w:lang w:val="en-US" w:eastAsia="en-US" w:bidi="ar-SA"/>
      </w:rPr>
    </w:lvl>
    <w:lvl w:ilvl="5" w:tplc="D872402C">
      <w:numFmt w:val="bullet"/>
      <w:lvlText w:val="•"/>
      <w:lvlJc w:val="left"/>
      <w:pPr>
        <w:ind w:left="5219" w:hanging="118"/>
      </w:pPr>
      <w:rPr>
        <w:rFonts w:hint="default"/>
        <w:lang w:val="en-US" w:eastAsia="en-US" w:bidi="ar-SA"/>
      </w:rPr>
    </w:lvl>
    <w:lvl w:ilvl="6" w:tplc="4EE66752">
      <w:numFmt w:val="bullet"/>
      <w:lvlText w:val="•"/>
      <w:lvlJc w:val="left"/>
      <w:pPr>
        <w:ind w:left="6242" w:hanging="118"/>
      </w:pPr>
      <w:rPr>
        <w:rFonts w:hint="default"/>
        <w:lang w:val="en-US" w:eastAsia="en-US" w:bidi="ar-SA"/>
      </w:rPr>
    </w:lvl>
    <w:lvl w:ilvl="7" w:tplc="124C6350">
      <w:numFmt w:val="bullet"/>
      <w:lvlText w:val="•"/>
      <w:lvlJc w:val="left"/>
      <w:pPr>
        <w:ind w:left="7266" w:hanging="118"/>
      </w:pPr>
      <w:rPr>
        <w:rFonts w:hint="default"/>
        <w:lang w:val="en-US" w:eastAsia="en-US" w:bidi="ar-SA"/>
      </w:rPr>
    </w:lvl>
    <w:lvl w:ilvl="8" w:tplc="77C66328">
      <w:numFmt w:val="bullet"/>
      <w:lvlText w:val="•"/>
      <w:lvlJc w:val="left"/>
      <w:pPr>
        <w:ind w:left="8290" w:hanging="118"/>
      </w:pPr>
      <w:rPr>
        <w:rFonts w:hint="default"/>
        <w:lang w:val="en-US" w:eastAsia="en-US" w:bidi="ar-SA"/>
      </w:rPr>
    </w:lvl>
  </w:abstractNum>
  <w:abstractNum w:abstractNumId="1" w15:restartNumberingAfterBreak="0">
    <w:nsid w:val="6B167713"/>
    <w:multiLevelType w:val="hybridMultilevel"/>
    <w:tmpl w:val="EE061C9C"/>
    <w:lvl w:ilvl="0" w:tplc="148818F2">
      <w:numFmt w:val="bullet"/>
      <w:lvlText w:val=""/>
      <w:lvlJc w:val="left"/>
      <w:pPr>
        <w:ind w:left="249" w:hanging="142"/>
      </w:pPr>
      <w:rPr>
        <w:rFonts w:ascii="Symbol" w:eastAsia="Symbol" w:hAnsi="Symbol" w:cs="Symbol" w:hint="default"/>
        <w:b w:val="0"/>
        <w:bCs w:val="0"/>
        <w:i w:val="0"/>
        <w:iCs w:val="0"/>
        <w:w w:val="99"/>
        <w:sz w:val="20"/>
        <w:szCs w:val="20"/>
        <w:lang w:val="en-US" w:eastAsia="en-US" w:bidi="ar-SA"/>
      </w:rPr>
    </w:lvl>
    <w:lvl w:ilvl="1" w:tplc="66EE2D7E">
      <w:numFmt w:val="bullet"/>
      <w:lvlText w:val="•"/>
      <w:lvlJc w:val="left"/>
      <w:pPr>
        <w:ind w:left="1249" w:hanging="142"/>
      </w:pPr>
      <w:rPr>
        <w:rFonts w:hint="default"/>
        <w:lang w:val="en-US" w:eastAsia="en-US" w:bidi="ar-SA"/>
      </w:rPr>
    </w:lvl>
    <w:lvl w:ilvl="2" w:tplc="ACC8E420">
      <w:numFmt w:val="bullet"/>
      <w:lvlText w:val="•"/>
      <w:lvlJc w:val="left"/>
      <w:pPr>
        <w:ind w:left="2259" w:hanging="142"/>
      </w:pPr>
      <w:rPr>
        <w:rFonts w:hint="default"/>
        <w:lang w:val="en-US" w:eastAsia="en-US" w:bidi="ar-SA"/>
      </w:rPr>
    </w:lvl>
    <w:lvl w:ilvl="3" w:tplc="66BC9628">
      <w:numFmt w:val="bullet"/>
      <w:lvlText w:val="•"/>
      <w:lvlJc w:val="left"/>
      <w:pPr>
        <w:ind w:left="3269" w:hanging="142"/>
      </w:pPr>
      <w:rPr>
        <w:rFonts w:hint="default"/>
        <w:lang w:val="en-US" w:eastAsia="en-US" w:bidi="ar-SA"/>
      </w:rPr>
    </w:lvl>
    <w:lvl w:ilvl="4" w:tplc="F120EC70">
      <w:numFmt w:val="bullet"/>
      <w:lvlText w:val="•"/>
      <w:lvlJc w:val="left"/>
      <w:pPr>
        <w:ind w:left="4279" w:hanging="142"/>
      </w:pPr>
      <w:rPr>
        <w:rFonts w:hint="default"/>
        <w:lang w:val="en-US" w:eastAsia="en-US" w:bidi="ar-SA"/>
      </w:rPr>
    </w:lvl>
    <w:lvl w:ilvl="5" w:tplc="38D8367E">
      <w:numFmt w:val="bullet"/>
      <w:lvlText w:val="•"/>
      <w:lvlJc w:val="left"/>
      <w:pPr>
        <w:ind w:left="5289" w:hanging="142"/>
      </w:pPr>
      <w:rPr>
        <w:rFonts w:hint="default"/>
        <w:lang w:val="en-US" w:eastAsia="en-US" w:bidi="ar-SA"/>
      </w:rPr>
    </w:lvl>
    <w:lvl w:ilvl="6" w:tplc="03CC2B54">
      <w:numFmt w:val="bullet"/>
      <w:lvlText w:val="•"/>
      <w:lvlJc w:val="left"/>
      <w:pPr>
        <w:ind w:left="6298" w:hanging="142"/>
      </w:pPr>
      <w:rPr>
        <w:rFonts w:hint="default"/>
        <w:lang w:val="en-US" w:eastAsia="en-US" w:bidi="ar-SA"/>
      </w:rPr>
    </w:lvl>
    <w:lvl w:ilvl="7" w:tplc="B45CA50A">
      <w:numFmt w:val="bullet"/>
      <w:lvlText w:val="•"/>
      <w:lvlJc w:val="left"/>
      <w:pPr>
        <w:ind w:left="7308" w:hanging="142"/>
      </w:pPr>
      <w:rPr>
        <w:rFonts w:hint="default"/>
        <w:lang w:val="en-US" w:eastAsia="en-US" w:bidi="ar-SA"/>
      </w:rPr>
    </w:lvl>
    <w:lvl w:ilvl="8" w:tplc="0F2EC2DC">
      <w:numFmt w:val="bullet"/>
      <w:lvlText w:val="•"/>
      <w:lvlJc w:val="left"/>
      <w:pPr>
        <w:ind w:left="8318" w:hanging="142"/>
      </w:pPr>
      <w:rPr>
        <w:rFonts w:hint="default"/>
        <w:lang w:val="en-US" w:eastAsia="en-US" w:bidi="ar-SA"/>
      </w:rPr>
    </w:lvl>
  </w:abstractNum>
  <w:num w:numId="1" w16cid:durableId="1835800220">
    <w:abstractNumId w:val="1"/>
  </w:num>
  <w:num w:numId="2" w16cid:durableId="1054159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9D3"/>
    <w:rsid w:val="00083087"/>
    <w:rsid w:val="0008778B"/>
    <w:rsid w:val="000A37CE"/>
    <w:rsid w:val="000F0251"/>
    <w:rsid w:val="00101161"/>
    <w:rsid w:val="00114270"/>
    <w:rsid w:val="00181B8A"/>
    <w:rsid w:val="00293247"/>
    <w:rsid w:val="00307F6F"/>
    <w:rsid w:val="003E32A0"/>
    <w:rsid w:val="00420947"/>
    <w:rsid w:val="004F02A6"/>
    <w:rsid w:val="00515F99"/>
    <w:rsid w:val="005C2AF5"/>
    <w:rsid w:val="00642E12"/>
    <w:rsid w:val="00693DB0"/>
    <w:rsid w:val="006D251A"/>
    <w:rsid w:val="006D3A54"/>
    <w:rsid w:val="007005AD"/>
    <w:rsid w:val="00757C0E"/>
    <w:rsid w:val="00877C63"/>
    <w:rsid w:val="00921473"/>
    <w:rsid w:val="0093779E"/>
    <w:rsid w:val="00BB55D1"/>
    <w:rsid w:val="00BD6B87"/>
    <w:rsid w:val="00C40288"/>
    <w:rsid w:val="00C52F60"/>
    <w:rsid w:val="00CB19D3"/>
    <w:rsid w:val="00CB29F2"/>
    <w:rsid w:val="00CC63B2"/>
    <w:rsid w:val="00D54DE7"/>
    <w:rsid w:val="00DC242C"/>
    <w:rsid w:val="00E97DFC"/>
    <w:rsid w:val="00EC12F9"/>
    <w:rsid w:val="00F84DB8"/>
    <w:rsid w:val="00FA5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9F46"/>
  <w15:docId w15:val="{7832D7EE-27B3-4A80-AB4B-51CACE84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896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284FF-C083-4CA7-A302-679F2BBC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Springett</dc:creator>
  <cp:lastModifiedBy>Kate Crampton (Amberley)</cp:lastModifiedBy>
  <cp:revision>2</cp:revision>
  <dcterms:created xsi:type="dcterms:W3CDTF">2024-11-05T17:28:00Z</dcterms:created>
  <dcterms:modified xsi:type="dcterms:W3CDTF">2024-11-05T17:28:00Z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Microsoft® Word 2016</vt:lpwstr>
  </property>
  <property fmtid="{D5CDD505-2E9C-101B-9397-08002B2CF9AE}" pid="4" name="LastSaved">
    <vt:filetime>2024-10-10T00:00:00Z</vt:filetime>
  </property>
  <property fmtid="{D5CDD505-2E9C-101B-9397-08002B2CF9AE}" pid="5" name="Producer">
    <vt:lpwstr>Microsoft® Word 2016</vt:lpwstr>
  </property>
</Properties>
</file>